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3D8" w:rsidRDefault="00A730F4">
      <w:pPr>
        <w:spacing w:after="268"/>
      </w:pPr>
      <w:r>
        <w:rPr>
          <w:b/>
          <w:sz w:val="28"/>
        </w:rPr>
        <w:t xml:space="preserve"> Život mezi lidmi  </w:t>
      </w:r>
    </w:p>
    <w:p w:rsidR="005943D8" w:rsidRDefault="00A730F4">
      <w:pPr>
        <w:spacing w:after="219"/>
        <w:ind w:left="-5" w:right="3168" w:hanging="10"/>
      </w:pPr>
      <w:r>
        <w:rPr>
          <w:b/>
          <w:sz w:val="28"/>
          <w:u w:val="single" w:color="000000"/>
        </w:rPr>
        <w:t xml:space="preserve">Pravidla </w:t>
      </w:r>
      <w:r>
        <w:rPr>
          <w:sz w:val="24"/>
        </w:rPr>
        <w:t>(uč. od s. 38)</w:t>
      </w:r>
      <w:r>
        <w:rPr>
          <w:b/>
          <w:sz w:val="28"/>
        </w:rPr>
        <w:t xml:space="preserve"> </w:t>
      </w:r>
    </w:p>
    <w:p w:rsidR="005943D8" w:rsidRDefault="00A730F4" w:rsidP="00A730F4">
      <w:pPr>
        <w:pStyle w:val="Odstavecseseznamem"/>
        <w:spacing w:after="257"/>
        <w:ind w:left="345" w:right="3168"/>
      </w:pPr>
      <w:r w:rsidRPr="00A730F4">
        <w:rPr>
          <w:sz w:val="24"/>
        </w:rPr>
        <w:t xml:space="preserve">Pomáhají žít spolu (psaná a nepsaná pravidla) </w:t>
      </w:r>
    </w:p>
    <w:p w:rsidR="005943D8" w:rsidRDefault="00A730F4" w:rsidP="00A730F4">
      <w:pPr>
        <w:pStyle w:val="Odstavecseseznamem"/>
        <w:spacing w:after="257"/>
        <w:ind w:left="345" w:right="3168"/>
      </w:pPr>
      <w:bookmarkStart w:id="0" w:name="_GoBack"/>
      <w:bookmarkEnd w:id="0"/>
      <w:r w:rsidRPr="00A730F4">
        <w:rPr>
          <w:sz w:val="24"/>
        </w:rPr>
        <w:t xml:space="preserve">Pomáhají chránit </w:t>
      </w:r>
    </w:p>
    <w:p w:rsidR="005943D8" w:rsidRDefault="00A730F4">
      <w:pPr>
        <w:spacing w:after="13"/>
        <w:ind w:left="643"/>
      </w:pPr>
      <w:r>
        <w:rPr>
          <w:sz w:val="24"/>
        </w:rPr>
        <w:t xml:space="preserve"> </w:t>
      </w:r>
    </w:p>
    <w:p w:rsidR="005943D8" w:rsidRDefault="00A730F4">
      <w:pPr>
        <w:numPr>
          <w:ilvl w:val="0"/>
          <w:numId w:val="1"/>
        </w:numPr>
        <w:spacing w:after="27" w:line="250" w:lineRule="auto"/>
        <w:ind w:hanging="360"/>
      </w:pPr>
      <w:r>
        <w:rPr>
          <w:sz w:val="24"/>
        </w:rPr>
        <w:t xml:space="preserve">předpoklad dobrého soužití: respektování práv a povinností (zlaté pravidlo: "Co nechceš, aby ostatní dělali tobě, nedělej ty jim.") </w:t>
      </w:r>
    </w:p>
    <w:p w:rsidR="005943D8" w:rsidRDefault="00A730F4">
      <w:pPr>
        <w:numPr>
          <w:ilvl w:val="0"/>
          <w:numId w:val="1"/>
        </w:numPr>
        <w:spacing w:after="27" w:line="250" w:lineRule="auto"/>
        <w:ind w:hanging="360"/>
      </w:pPr>
      <w:r>
        <w:rPr>
          <w:sz w:val="24"/>
        </w:rPr>
        <w:t>základní lidská práva -&gt;</w:t>
      </w:r>
      <w:hyperlink r:id="rId5">
        <w:r>
          <w:rPr>
            <w:sz w:val="24"/>
          </w:rPr>
          <w:t xml:space="preserve"> </w:t>
        </w:r>
      </w:hyperlink>
      <w:hyperlink r:id="rId6">
        <w:r>
          <w:rPr>
            <w:color w:val="0000FF"/>
            <w:sz w:val="24"/>
            <w:u w:val="single" w:color="0000FF"/>
          </w:rPr>
          <w:t>Všeobecná deklarace lidskýc</w:t>
        </w:r>
        <w:r>
          <w:rPr>
            <w:color w:val="0000FF"/>
            <w:sz w:val="24"/>
            <w:u w:val="single" w:color="0000FF"/>
          </w:rPr>
          <w:t>h práv</w:t>
        </w:r>
      </w:hyperlink>
      <w:hyperlink r:id="rId7">
        <w:r>
          <w:rPr>
            <w:sz w:val="24"/>
          </w:rPr>
          <w:t>:</w:t>
        </w:r>
      </w:hyperlink>
      <w:r>
        <w:rPr>
          <w:sz w:val="24"/>
        </w:rPr>
        <w:t xml:space="preserve"> právo na svobodu, bezpečí a kvalitní život bez ohledu na státní příslušnost, pohlaví, národnost, vzdělání, náboženství </w:t>
      </w:r>
    </w:p>
    <w:p w:rsidR="005943D8" w:rsidRPr="0025778C" w:rsidRDefault="00A730F4">
      <w:pPr>
        <w:numPr>
          <w:ilvl w:val="0"/>
          <w:numId w:val="1"/>
        </w:numPr>
        <w:spacing w:after="268"/>
        <w:ind w:hanging="360"/>
      </w:pPr>
      <w:r>
        <w:rPr>
          <w:sz w:val="24"/>
        </w:rPr>
        <w:t xml:space="preserve">dětská práva </w:t>
      </w:r>
      <w:proofErr w:type="gramStart"/>
      <w:r>
        <w:rPr>
          <w:sz w:val="24"/>
        </w:rPr>
        <w:t>- &gt;</w:t>
      </w:r>
      <w:proofErr w:type="gramEnd"/>
      <w:hyperlink r:id="rId8">
        <w:r>
          <w:rPr>
            <w:sz w:val="24"/>
          </w:rPr>
          <w:t xml:space="preserve"> </w:t>
        </w:r>
      </w:hyperlink>
      <w:hyperlink r:id="rId9">
        <w:r>
          <w:rPr>
            <w:color w:val="0000FF"/>
            <w:sz w:val="24"/>
            <w:u w:val="single" w:color="0000FF"/>
          </w:rPr>
          <w:t>Úmluva o právech dítěte</w:t>
        </w:r>
      </w:hyperlink>
      <w:hyperlink r:id="rId10">
        <w:r>
          <w:rPr>
            <w:sz w:val="24"/>
          </w:rPr>
          <w:t xml:space="preserve"> </w:t>
        </w:r>
      </w:hyperlink>
      <w:r>
        <w:rPr>
          <w:sz w:val="24"/>
        </w:rPr>
        <w:t xml:space="preserve">- právo na: </w:t>
      </w:r>
    </w:p>
    <w:p w:rsidR="0025778C" w:rsidRDefault="0025778C" w:rsidP="0025778C">
      <w:pPr>
        <w:pStyle w:val="Odstavecseseznamem"/>
        <w:numPr>
          <w:ilvl w:val="0"/>
          <w:numId w:val="2"/>
        </w:numPr>
        <w:spacing w:after="268"/>
      </w:pPr>
      <w:r>
        <w:t>život</w:t>
      </w:r>
    </w:p>
    <w:p w:rsidR="0025778C" w:rsidRDefault="0025778C" w:rsidP="0025778C">
      <w:pPr>
        <w:pStyle w:val="Odstavecseseznamem"/>
        <w:numPr>
          <w:ilvl w:val="0"/>
          <w:numId w:val="2"/>
        </w:numPr>
        <w:spacing w:after="268"/>
      </w:pPr>
      <w:r>
        <w:t>rozvoj</w:t>
      </w:r>
    </w:p>
    <w:p w:rsidR="0025778C" w:rsidRDefault="0025778C" w:rsidP="0025778C">
      <w:pPr>
        <w:pStyle w:val="Odstavecseseznamem"/>
        <w:numPr>
          <w:ilvl w:val="0"/>
          <w:numId w:val="2"/>
        </w:numPr>
        <w:spacing w:after="268"/>
      </w:pPr>
      <w:r>
        <w:t>ochranu</w:t>
      </w:r>
    </w:p>
    <w:p w:rsidR="0025778C" w:rsidRDefault="0025778C" w:rsidP="0025778C">
      <w:pPr>
        <w:pStyle w:val="Odstavecseseznamem"/>
        <w:numPr>
          <w:ilvl w:val="0"/>
          <w:numId w:val="2"/>
        </w:numPr>
        <w:spacing w:after="268"/>
      </w:pPr>
      <w:r>
        <w:t>dále viz: detskaprava.cz</w:t>
      </w:r>
    </w:p>
    <w:p w:rsidR="005943D8" w:rsidRPr="0025778C" w:rsidRDefault="00A730F4" w:rsidP="0025778C">
      <w:pPr>
        <w:spacing w:after="257"/>
        <w:ind w:left="-15" w:right="3168"/>
        <w:rPr>
          <w:color w:val="auto"/>
        </w:rPr>
      </w:pPr>
      <w:r>
        <w:rPr>
          <w:sz w:val="24"/>
        </w:rPr>
        <w:t>N</w:t>
      </w:r>
      <w:r>
        <w:rPr>
          <w:sz w:val="24"/>
        </w:rPr>
        <w:t>ásilí je porušování pravidel (</w:t>
      </w:r>
      <w:r w:rsidRPr="0025778C">
        <w:rPr>
          <w:color w:val="auto"/>
          <w:sz w:val="24"/>
        </w:rPr>
        <w:t xml:space="preserve">např. šikana, týrání…) </w:t>
      </w:r>
    </w:p>
    <w:p w:rsidR="005943D8" w:rsidRPr="0025778C" w:rsidRDefault="00A730F4">
      <w:pPr>
        <w:spacing w:after="27" w:line="250" w:lineRule="auto"/>
        <w:rPr>
          <w:color w:val="auto"/>
        </w:rPr>
      </w:pPr>
      <w:r w:rsidRPr="0025778C">
        <w:rPr>
          <w:color w:val="auto"/>
          <w:sz w:val="24"/>
        </w:rPr>
        <w:t xml:space="preserve">Vždy je třeba: </w:t>
      </w:r>
    </w:p>
    <w:p w:rsidR="0025778C" w:rsidRPr="00A730F4" w:rsidRDefault="00A730F4" w:rsidP="00A730F4">
      <w:pPr>
        <w:pStyle w:val="Odstavecseseznamem"/>
        <w:numPr>
          <w:ilvl w:val="0"/>
          <w:numId w:val="4"/>
        </w:numPr>
        <w:spacing w:after="269" w:line="250" w:lineRule="auto"/>
        <w:ind w:right="5002"/>
        <w:rPr>
          <w:color w:val="auto"/>
          <w:sz w:val="24"/>
        </w:rPr>
      </w:pPr>
      <w:r w:rsidRPr="00A730F4">
        <w:rPr>
          <w:color w:val="auto"/>
          <w:sz w:val="24"/>
        </w:rPr>
        <w:t xml:space="preserve">sepsání pravidel </w:t>
      </w:r>
    </w:p>
    <w:p w:rsidR="0025778C" w:rsidRPr="00A730F4" w:rsidRDefault="00A730F4" w:rsidP="00A730F4">
      <w:pPr>
        <w:pStyle w:val="Odstavecseseznamem"/>
        <w:numPr>
          <w:ilvl w:val="0"/>
          <w:numId w:val="4"/>
        </w:numPr>
        <w:spacing w:after="269" w:line="250" w:lineRule="auto"/>
        <w:ind w:right="5002"/>
        <w:rPr>
          <w:color w:val="auto"/>
          <w:sz w:val="24"/>
        </w:rPr>
      </w:pPr>
      <w:r w:rsidRPr="00A730F4">
        <w:rPr>
          <w:color w:val="auto"/>
          <w:sz w:val="24"/>
        </w:rPr>
        <w:t xml:space="preserve">kontrola jejich </w:t>
      </w:r>
      <w:r w:rsidRPr="00A730F4">
        <w:rPr>
          <w:color w:val="auto"/>
          <w:sz w:val="24"/>
        </w:rPr>
        <w:t>dodržování</w:t>
      </w:r>
    </w:p>
    <w:p w:rsidR="005943D8" w:rsidRPr="00A730F4" w:rsidRDefault="00A730F4" w:rsidP="00A730F4">
      <w:pPr>
        <w:pStyle w:val="Odstavecseseznamem"/>
        <w:numPr>
          <w:ilvl w:val="0"/>
          <w:numId w:val="4"/>
        </w:numPr>
        <w:spacing w:after="269" w:line="250" w:lineRule="auto"/>
        <w:ind w:right="5002"/>
        <w:rPr>
          <w:color w:val="auto"/>
        </w:rPr>
      </w:pPr>
      <w:r w:rsidRPr="00A730F4">
        <w:rPr>
          <w:color w:val="auto"/>
          <w:sz w:val="24"/>
        </w:rPr>
        <w:t>tresty v případě jejic</w:t>
      </w:r>
      <w:r w:rsidR="0025778C" w:rsidRPr="00A730F4">
        <w:rPr>
          <w:color w:val="auto"/>
          <w:sz w:val="24"/>
        </w:rPr>
        <w:t>h</w:t>
      </w:r>
      <w:r>
        <w:rPr>
          <w:color w:val="auto"/>
          <w:sz w:val="24"/>
        </w:rPr>
        <w:t xml:space="preserve"> </w:t>
      </w:r>
      <w:r w:rsidR="0025778C" w:rsidRPr="00A730F4">
        <w:rPr>
          <w:color w:val="auto"/>
          <w:sz w:val="24"/>
        </w:rPr>
        <w:t>porušování</w:t>
      </w:r>
    </w:p>
    <w:p w:rsidR="005943D8" w:rsidRDefault="00A730F4">
      <w:pPr>
        <w:spacing w:after="0"/>
      </w:pPr>
      <w:r>
        <w:rPr>
          <w:sz w:val="24"/>
        </w:rPr>
        <w:t xml:space="preserve"> </w:t>
      </w:r>
    </w:p>
    <w:sectPr w:rsidR="005943D8">
      <w:pgSz w:w="11906" w:h="16838"/>
      <w:pgMar w:top="1440" w:right="1497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F629F"/>
    <w:multiLevelType w:val="hybridMultilevel"/>
    <w:tmpl w:val="DAAE05D2"/>
    <w:lvl w:ilvl="0" w:tplc="7C1A96F0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3575C52"/>
    <w:multiLevelType w:val="hybridMultilevel"/>
    <w:tmpl w:val="ECB696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D1145E"/>
    <w:multiLevelType w:val="hybridMultilevel"/>
    <w:tmpl w:val="3A2E7C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B71BC"/>
    <w:multiLevelType w:val="hybridMultilevel"/>
    <w:tmpl w:val="3648C16E"/>
    <w:lvl w:ilvl="0" w:tplc="24202A50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086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453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ADE2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27BE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801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7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00A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2BE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5D0C2C"/>
    <w:multiLevelType w:val="hybridMultilevel"/>
    <w:tmpl w:val="30C8CABC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D8"/>
    <w:rsid w:val="0025778C"/>
    <w:rsid w:val="005943D8"/>
    <w:rsid w:val="00A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D606"/>
  <w15:docId w15:val="{4DF7349D-1455-410F-8826-91F1C3E6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%C3%9Amluva_o_pr%C3%A1vech_d%C3%ADt%C4%9B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V%C5%A1eobecn%C3%A1_deklarace_lidsk%C3%BDch_pr%C3%A1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V%C5%A1eobecn%C3%A1_deklarace_lidsk%C3%BDch_pr%C3%A1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s.wikipedia.org/wiki/V%C5%A1eobecn%C3%A1_deklarace_lidsk%C3%BDch_pr%C3%A1v" TargetMode="External"/><Relationship Id="rId10" Type="http://schemas.openxmlformats.org/officeDocument/2006/relationships/hyperlink" Target="http://cs.wikipedia.org/wiki/%C3%9Amluva_o_pr%C3%A1vech_d%C3%ADt%C4%9B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%C3%9Amluva_o_pr%C3%A1vech_d%C3%ADt%C4%9Bt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Nykodýmová Zdena</dc:creator>
  <cp:keywords/>
  <cp:lastModifiedBy>Nykodýmová Zdena</cp:lastModifiedBy>
  <cp:revision>2</cp:revision>
  <dcterms:created xsi:type="dcterms:W3CDTF">2021-02-23T07:50:00Z</dcterms:created>
  <dcterms:modified xsi:type="dcterms:W3CDTF">2021-02-23T07:50:00Z</dcterms:modified>
</cp:coreProperties>
</file>